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0BD2" w14:textId="77777777" w:rsidR="00D13E3E" w:rsidRPr="00192C49" w:rsidRDefault="00D13E3E" w:rsidP="00D13E3E">
      <w:pPr>
        <w:jc w:val="both"/>
        <w:rPr>
          <w:rFonts w:ascii="Arial" w:hAnsi="Arial" w:cs="Arial"/>
          <w:b/>
          <w:bCs/>
          <w:sz w:val="20"/>
          <w:szCs w:val="20"/>
        </w:rPr>
      </w:pPr>
      <w:r w:rsidRPr="00192C49">
        <w:rPr>
          <w:rFonts w:ascii="Arial" w:hAnsi="Arial" w:cs="Arial"/>
          <w:b/>
          <w:bCs/>
          <w:sz w:val="20"/>
          <w:szCs w:val="20"/>
        </w:rPr>
        <w:t>Dos Veículos Beneficiados – Definições</w:t>
      </w:r>
    </w:p>
    <w:p w14:paraId="5DEC5F37" w14:textId="77777777" w:rsidR="00D13E3E" w:rsidRDefault="00D13E3E" w:rsidP="00D13E3E">
      <w:pPr>
        <w:pStyle w:val="PargrafodaLista"/>
        <w:numPr>
          <w:ilvl w:val="0"/>
          <w:numId w:val="3"/>
        </w:numPr>
        <w:spacing w:after="0" w:line="360" w:lineRule="auto"/>
        <w:jc w:val="both"/>
        <w:rPr>
          <w:rFonts w:ascii="Arial" w:hAnsi="Arial" w:cs="Arial"/>
          <w:sz w:val="20"/>
          <w:szCs w:val="20"/>
        </w:rPr>
      </w:pPr>
      <w:r w:rsidRPr="009B5DCF">
        <w:rPr>
          <w:rFonts w:ascii="Arial" w:hAnsi="Arial" w:cs="Arial"/>
          <w:sz w:val="20"/>
          <w:szCs w:val="20"/>
        </w:rPr>
        <w:t xml:space="preserve">Terão trânsito livre no Sistema Rodoviário e ficam, portanto, isentos do pagamento de Tarifa de Pedágio as motocicletas, motonetas, triciclos e bicicletas moto, as ambulâncias, os veículos oficiais, próprios ou contratados de prestadores de serviço, da União, dos Estados, dos Municípios e do Distrito Federal, seus respectivos órgãos, todos os veículos oficiais, devidamente identificados. </w:t>
      </w:r>
    </w:p>
    <w:p w14:paraId="500D9859" w14:textId="77777777" w:rsidR="00D13E3E" w:rsidRPr="009B5DCF" w:rsidRDefault="00D13E3E" w:rsidP="00D13E3E">
      <w:pPr>
        <w:pStyle w:val="PargrafodaLista"/>
        <w:spacing w:after="0" w:line="360" w:lineRule="auto"/>
        <w:jc w:val="both"/>
        <w:rPr>
          <w:rFonts w:ascii="Arial" w:hAnsi="Arial" w:cs="Arial"/>
          <w:sz w:val="20"/>
          <w:szCs w:val="20"/>
        </w:rPr>
      </w:pPr>
    </w:p>
    <w:p w14:paraId="349A603B" w14:textId="77777777" w:rsidR="00D13E3E" w:rsidRPr="009B5DCF" w:rsidRDefault="00D13E3E" w:rsidP="00D13E3E">
      <w:pPr>
        <w:pStyle w:val="PargrafodaLista"/>
        <w:numPr>
          <w:ilvl w:val="0"/>
          <w:numId w:val="3"/>
        </w:numPr>
        <w:spacing w:after="0" w:line="360" w:lineRule="auto"/>
        <w:jc w:val="both"/>
        <w:rPr>
          <w:rFonts w:ascii="Arial" w:hAnsi="Arial" w:cs="Arial"/>
          <w:sz w:val="20"/>
          <w:szCs w:val="20"/>
        </w:rPr>
      </w:pPr>
      <w:r w:rsidRPr="009B5DCF">
        <w:rPr>
          <w:rFonts w:ascii="Arial" w:hAnsi="Arial" w:cs="Arial"/>
          <w:sz w:val="20"/>
          <w:szCs w:val="20"/>
        </w:rPr>
        <w:t>São considerados oficiais aqueles que estejam a serviço da União, Estados, Municípios e Distrito Federal, bem como seus respectivos órgãos, departamentos, autarquias ou fundações públicas, além dos veículos do Corpo Diplomático, conforme estabelecido pelas Resoluções ANTT nº 3.916/2012 e Resolução ANTT nº 5.016/2016 ou outra que venha a substituí-las ou complementá-las.</w:t>
      </w:r>
    </w:p>
    <w:p w14:paraId="216A7F5E" w14:textId="77777777" w:rsidR="00D13E3E" w:rsidRPr="009B5DCF" w:rsidRDefault="00D13E3E" w:rsidP="00D13E3E">
      <w:pPr>
        <w:pStyle w:val="PargrafodaLista"/>
        <w:rPr>
          <w:rFonts w:ascii="Arial" w:hAnsi="Arial" w:cs="Arial"/>
          <w:sz w:val="20"/>
          <w:szCs w:val="20"/>
        </w:rPr>
      </w:pPr>
    </w:p>
    <w:p w14:paraId="0DA4FB04" w14:textId="77777777" w:rsidR="00D13E3E" w:rsidRDefault="00D13E3E" w:rsidP="00D13E3E">
      <w:pPr>
        <w:pStyle w:val="PargrafodaLista"/>
        <w:numPr>
          <w:ilvl w:val="0"/>
          <w:numId w:val="3"/>
        </w:numPr>
        <w:spacing w:after="0" w:line="360" w:lineRule="auto"/>
        <w:jc w:val="both"/>
        <w:rPr>
          <w:rFonts w:ascii="Arial" w:hAnsi="Arial" w:cs="Arial"/>
          <w:sz w:val="20"/>
          <w:szCs w:val="20"/>
        </w:rPr>
      </w:pPr>
      <w:r w:rsidRPr="009B5DCF">
        <w:rPr>
          <w:rFonts w:ascii="Arial" w:hAnsi="Arial" w:cs="Arial"/>
          <w:sz w:val="20"/>
          <w:szCs w:val="20"/>
        </w:rPr>
        <w:t xml:space="preserve">Consideram-se como veículos oficiais aqueles próprios, nos termos das alíneas </w:t>
      </w:r>
      <w:r w:rsidRPr="009B5DCF">
        <w:rPr>
          <w:rFonts w:ascii="Arial" w:hAnsi="Arial" w:cs="Arial"/>
          <w:b/>
          <w:bCs/>
          <w:sz w:val="20"/>
          <w:szCs w:val="20"/>
        </w:rPr>
        <w:t>c</w:t>
      </w:r>
      <w:r w:rsidRPr="009B5DCF">
        <w:rPr>
          <w:rFonts w:ascii="Arial" w:hAnsi="Arial" w:cs="Arial"/>
          <w:sz w:val="20"/>
          <w:szCs w:val="20"/>
        </w:rPr>
        <w:t xml:space="preserve"> e </w:t>
      </w:r>
      <w:r w:rsidRPr="009B5DCF">
        <w:rPr>
          <w:rFonts w:ascii="Arial" w:hAnsi="Arial" w:cs="Arial"/>
          <w:b/>
          <w:bCs/>
          <w:sz w:val="20"/>
          <w:szCs w:val="20"/>
        </w:rPr>
        <w:t>d</w:t>
      </w:r>
      <w:r w:rsidRPr="009B5DCF">
        <w:rPr>
          <w:rFonts w:ascii="Arial" w:hAnsi="Arial" w:cs="Arial"/>
          <w:sz w:val="20"/>
          <w:szCs w:val="20"/>
        </w:rPr>
        <w:t>, ou locados, conforme estabelecido neste procedimento, desde que utilizados pela União, Estados, Municípios e Distrito Federal, incluindo seus respectivos órgãos, departamentos, autarquias ou fundações públicas, conforme disposto no Decreto nº 6.403, de 17 de março de 2008, bem como na legislação estadual, municipal e distrital vigente.</w:t>
      </w:r>
    </w:p>
    <w:p w14:paraId="0D3E6EF8" w14:textId="77777777" w:rsidR="00D13E3E" w:rsidRPr="009B5DCF" w:rsidRDefault="00D13E3E" w:rsidP="00D13E3E">
      <w:pPr>
        <w:pStyle w:val="PargrafodaLista"/>
        <w:rPr>
          <w:rFonts w:ascii="Arial" w:hAnsi="Arial" w:cs="Arial"/>
          <w:sz w:val="20"/>
          <w:szCs w:val="20"/>
        </w:rPr>
      </w:pPr>
    </w:p>
    <w:p w14:paraId="2F33E182" w14:textId="77777777" w:rsidR="00D13E3E" w:rsidRDefault="00D13E3E" w:rsidP="00D13E3E">
      <w:pPr>
        <w:pStyle w:val="PargrafodaLista"/>
        <w:numPr>
          <w:ilvl w:val="0"/>
          <w:numId w:val="3"/>
        </w:numPr>
        <w:spacing w:after="0" w:line="360" w:lineRule="auto"/>
        <w:jc w:val="both"/>
        <w:rPr>
          <w:rFonts w:ascii="Arial" w:hAnsi="Arial" w:cs="Arial"/>
          <w:sz w:val="20"/>
          <w:szCs w:val="20"/>
        </w:rPr>
      </w:pPr>
      <w:r w:rsidRPr="009B5DCF">
        <w:rPr>
          <w:rFonts w:ascii="Arial" w:hAnsi="Arial" w:cs="Arial"/>
          <w:sz w:val="20"/>
          <w:szCs w:val="20"/>
        </w:rPr>
        <w:t>Os veículos do Corpo Diplomático, bem como os veículos oficiais devidamente identificados com placas azuis com caracteres brancos, brancas com caracteres pretos ou pretas com caracteres dourados, conforme previsto na Resolução Contran nº 231, de 15 de março de 2007, e aqueles com placas brancas com caracteres azuis ou dourados, conforme a Resolução Contran nº 510, de 27 de novembro de 2014, terão direito à isenção da tarifa de pedágio sem a necessidade de cadastramento prévio, devendo passar pelas cabines de pedágio para liberação.</w:t>
      </w:r>
    </w:p>
    <w:p w14:paraId="745F01A7" w14:textId="77777777" w:rsidR="00D13E3E" w:rsidRPr="009B5DCF" w:rsidRDefault="00D13E3E" w:rsidP="00D13E3E">
      <w:pPr>
        <w:pStyle w:val="PargrafodaLista"/>
        <w:rPr>
          <w:rFonts w:ascii="Arial" w:hAnsi="Arial" w:cs="Arial"/>
          <w:sz w:val="20"/>
          <w:szCs w:val="20"/>
        </w:rPr>
      </w:pPr>
    </w:p>
    <w:p w14:paraId="7BCF642B" w14:textId="77777777" w:rsidR="00D13E3E" w:rsidRDefault="00D13E3E" w:rsidP="00D13E3E">
      <w:pPr>
        <w:pStyle w:val="PargrafodaLista"/>
        <w:numPr>
          <w:ilvl w:val="0"/>
          <w:numId w:val="3"/>
        </w:numPr>
        <w:spacing w:after="0" w:line="360" w:lineRule="auto"/>
        <w:jc w:val="both"/>
        <w:rPr>
          <w:rFonts w:ascii="Arial" w:hAnsi="Arial" w:cs="Arial"/>
          <w:sz w:val="20"/>
          <w:szCs w:val="20"/>
        </w:rPr>
      </w:pPr>
      <w:r w:rsidRPr="009B5DCF">
        <w:rPr>
          <w:rFonts w:ascii="Arial" w:hAnsi="Arial" w:cs="Arial"/>
          <w:sz w:val="20"/>
          <w:szCs w:val="20"/>
        </w:rPr>
        <w:t>Nos termos do artigo 29, inciso VII, da Lei Federal nº 9.503/1997 (Código de Trânsito Brasileiro), os veículos de socorro a incêndio e salvamento, de polícia, de fiscalização e operação de trânsito, e ambulâncias, quando em serviço de urgência e devidamente identificados por dispositivos de alarme sonoro e iluminação vermelha intermitente, terão passagem livre pelas praças de pedágio.</w:t>
      </w:r>
    </w:p>
    <w:p w14:paraId="5E42B33D" w14:textId="77777777" w:rsidR="00D13E3E" w:rsidRPr="009B5DCF" w:rsidRDefault="00D13E3E" w:rsidP="00D13E3E">
      <w:pPr>
        <w:pStyle w:val="PargrafodaLista"/>
        <w:rPr>
          <w:rFonts w:ascii="Arial" w:hAnsi="Arial" w:cs="Arial"/>
          <w:sz w:val="20"/>
          <w:szCs w:val="20"/>
        </w:rPr>
      </w:pPr>
    </w:p>
    <w:p w14:paraId="3FE32179" w14:textId="77777777" w:rsidR="00D13E3E" w:rsidRDefault="00D13E3E" w:rsidP="00D13E3E">
      <w:pPr>
        <w:pStyle w:val="PargrafodaLista"/>
        <w:numPr>
          <w:ilvl w:val="0"/>
          <w:numId w:val="3"/>
        </w:numPr>
        <w:spacing w:after="0" w:line="360" w:lineRule="auto"/>
        <w:jc w:val="both"/>
        <w:rPr>
          <w:rFonts w:ascii="Arial" w:hAnsi="Arial" w:cs="Arial"/>
          <w:sz w:val="20"/>
          <w:szCs w:val="20"/>
        </w:rPr>
      </w:pPr>
      <w:r w:rsidRPr="009B5DCF">
        <w:rPr>
          <w:rFonts w:ascii="Arial" w:hAnsi="Arial" w:cs="Arial"/>
          <w:sz w:val="20"/>
          <w:szCs w:val="20"/>
        </w:rPr>
        <w:t>Não são considerados oficiais, para fins de isenção de tarifa de pedágio, os veículos pertencentes a sociedades de economia mista, empresas estatais e fundações que possuam natureza jurídica de direito privado.</w:t>
      </w:r>
    </w:p>
    <w:p w14:paraId="075E6A52" w14:textId="77777777" w:rsidR="009B4598" w:rsidRPr="009B4598" w:rsidRDefault="009B4598" w:rsidP="009B4598">
      <w:pPr>
        <w:pStyle w:val="PargrafodaLista"/>
        <w:rPr>
          <w:rFonts w:ascii="Arial" w:hAnsi="Arial" w:cs="Arial"/>
          <w:sz w:val="20"/>
          <w:szCs w:val="20"/>
        </w:rPr>
      </w:pPr>
    </w:p>
    <w:p w14:paraId="419EE25A" w14:textId="77777777" w:rsidR="009B4598" w:rsidRPr="009B5DCF" w:rsidRDefault="009B4598" w:rsidP="009B4598">
      <w:pPr>
        <w:pStyle w:val="PargrafodaLista"/>
        <w:spacing w:after="0" w:line="360" w:lineRule="auto"/>
        <w:jc w:val="both"/>
        <w:rPr>
          <w:rFonts w:ascii="Arial" w:hAnsi="Arial" w:cs="Arial"/>
          <w:sz w:val="20"/>
          <w:szCs w:val="20"/>
        </w:rPr>
      </w:pPr>
    </w:p>
    <w:p w14:paraId="0787F188" w14:textId="77777777" w:rsidR="00D13E3E" w:rsidRPr="00C051FE" w:rsidRDefault="00D13E3E" w:rsidP="00D13E3E">
      <w:pPr>
        <w:spacing w:after="0" w:line="360" w:lineRule="auto"/>
        <w:jc w:val="both"/>
        <w:rPr>
          <w:rFonts w:ascii="Arial" w:hAnsi="Arial" w:cs="Arial"/>
          <w:sz w:val="20"/>
          <w:szCs w:val="20"/>
        </w:rPr>
      </w:pPr>
    </w:p>
    <w:p w14:paraId="0549A854" w14:textId="77777777" w:rsidR="00D13E3E" w:rsidRPr="00C051FE" w:rsidRDefault="00D13E3E" w:rsidP="00D13E3E">
      <w:pPr>
        <w:jc w:val="both"/>
        <w:rPr>
          <w:rFonts w:ascii="Arial" w:hAnsi="Arial" w:cs="Arial"/>
          <w:b/>
          <w:bCs/>
          <w:sz w:val="20"/>
          <w:szCs w:val="20"/>
        </w:rPr>
      </w:pPr>
      <w:r w:rsidRPr="00C051FE">
        <w:rPr>
          <w:rFonts w:ascii="Arial" w:hAnsi="Arial" w:cs="Arial"/>
          <w:b/>
          <w:bCs/>
          <w:sz w:val="20"/>
          <w:szCs w:val="20"/>
        </w:rPr>
        <w:t>Condições para Isenção</w:t>
      </w:r>
    </w:p>
    <w:p w14:paraId="75CB61A6" w14:textId="77777777" w:rsidR="00D13E3E" w:rsidRPr="00192C49" w:rsidRDefault="00D13E3E" w:rsidP="00D13E3E">
      <w:pPr>
        <w:jc w:val="both"/>
        <w:rPr>
          <w:rFonts w:ascii="Arial" w:hAnsi="Arial" w:cs="Arial"/>
          <w:sz w:val="20"/>
          <w:szCs w:val="20"/>
        </w:rPr>
      </w:pPr>
      <w:r w:rsidRPr="00192C49">
        <w:rPr>
          <w:rFonts w:ascii="Arial" w:hAnsi="Arial" w:cs="Arial"/>
          <w:b/>
          <w:bCs/>
          <w:sz w:val="20"/>
          <w:szCs w:val="20"/>
        </w:rPr>
        <w:t xml:space="preserve">a) </w:t>
      </w:r>
      <w:r w:rsidRPr="00192C49">
        <w:rPr>
          <w:rFonts w:ascii="Arial" w:hAnsi="Arial" w:cs="Arial"/>
          <w:sz w:val="20"/>
          <w:szCs w:val="20"/>
        </w:rPr>
        <w:t>Os veículos oficiais contratados de prestadores de serviço deverão ser cadastrados previamente pelos órgãos públicos junto à Way 262.</w:t>
      </w:r>
    </w:p>
    <w:p w14:paraId="166E13EB" w14:textId="77777777" w:rsidR="00D13E3E" w:rsidRPr="00192C49" w:rsidRDefault="00D13E3E" w:rsidP="00D13E3E">
      <w:pPr>
        <w:jc w:val="both"/>
        <w:rPr>
          <w:rFonts w:ascii="Arial" w:hAnsi="Arial" w:cs="Arial"/>
          <w:b/>
          <w:bCs/>
          <w:sz w:val="20"/>
          <w:szCs w:val="20"/>
        </w:rPr>
      </w:pPr>
    </w:p>
    <w:p w14:paraId="17FEE688" w14:textId="77777777" w:rsidR="00D13E3E" w:rsidRPr="00192C49" w:rsidRDefault="00D13E3E" w:rsidP="00D13E3E">
      <w:pPr>
        <w:jc w:val="both"/>
        <w:rPr>
          <w:rFonts w:ascii="Arial" w:hAnsi="Arial" w:cs="Arial"/>
          <w:sz w:val="20"/>
          <w:szCs w:val="20"/>
        </w:rPr>
      </w:pPr>
      <w:r w:rsidRPr="00192C49">
        <w:rPr>
          <w:rFonts w:ascii="Arial" w:hAnsi="Arial" w:cs="Arial"/>
          <w:b/>
          <w:bCs/>
          <w:sz w:val="20"/>
          <w:szCs w:val="20"/>
        </w:rPr>
        <w:t xml:space="preserve">Parágrafo Primeiro </w:t>
      </w:r>
      <w:r w:rsidRPr="00192C49">
        <w:rPr>
          <w:rFonts w:ascii="Arial" w:hAnsi="Arial" w:cs="Arial"/>
          <w:sz w:val="20"/>
          <w:szCs w:val="20"/>
        </w:rPr>
        <w:t>– Para a isenção do pagamento da tarifa de pedágio, os veículos oficiais contratados de prestadores de serviços deverão apresentar, nas praças de pedágio, o documento fornecido pela Way 262, que comprove o seu prévio cadastramento.</w:t>
      </w:r>
    </w:p>
    <w:p w14:paraId="28DE9FD0" w14:textId="77777777" w:rsidR="00D13E3E" w:rsidRPr="00192C49" w:rsidRDefault="00D13E3E" w:rsidP="00D13E3E">
      <w:pPr>
        <w:jc w:val="both"/>
        <w:rPr>
          <w:rFonts w:ascii="Arial" w:hAnsi="Arial" w:cs="Arial"/>
          <w:b/>
          <w:bCs/>
          <w:sz w:val="20"/>
          <w:szCs w:val="20"/>
        </w:rPr>
      </w:pPr>
    </w:p>
    <w:p w14:paraId="7FA5AF12" w14:textId="77777777" w:rsidR="00D13E3E" w:rsidRDefault="00D13E3E" w:rsidP="00D13E3E">
      <w:pPr>
        <w:jc w:val="both"/>
        <w:rPr>
          <w:rFonts w:ascii="Arial" w:hAnsi="Arial" w:cs="Arial"/>
          <w:sz w:val="20"/>
          <w:szCs w:val="20"/>
        </w:rPr>
      </w:pPr>
      <w:r w:rsidRPr="00192C49">
        <w:rPr>
          <w:rFonts w:ascii="Arial" w:hAnsi="Arial" w:cs="Arial"/>
          <w:b/>
          <w:bCs/>
          <w:sz w:val="20"/>
          <w:szCs w:val="20"/>
        </w:rPr>
        <w:t xml:space="preserve">b) </w:t>
      </w:r>
      <w:r w:rsidRPr="00192C49">
        <w:rPr>
          <w:rFonts w:ascii="Arial" w:hAnsi="Arial" w:cs="Arial"/>
          <w:sz w:val="20"/>
          <w:szCs w:val="20"/>
        </w:rPr>
        <w:t>Não serão beneficiados quaisquer usuários que não atendam aos requisitos aqui previstos, sob nenhuma hipótese.</w:t>
      </w:r>
    </w:p>
    <w:p w14:paraId="123A54CE" w14:textId="77777777" w:rsidR="00D13E3E" w:rsidRPr="00192C49" w:rsidRDefault="00D13E3E" w:rsidP="00D13E3E">
      <w:pPr>
        <w:jc w:val="both"/>
        <w:rPr>
          <w:rFonts w:ascii="Arial" w:hAnsi="Arial" w:cs="Arial"/>
          <w:sz w:val="20"/>
          <w:szCs w:val="20"/>
        </w:rPr>
      </w:pPr>
    </w:p>
    <w:p w14:paraId="62D421B3" w14:textId="77777777" w:rsidR="00D13E3E" w:rsidRDefault="00D13E3E" w:rsidP="00D13E3E">
      <w:pPr>
        <w:jc w:val="both"/>
        <w:rPr>
          <w:rFonts w:ascii="Arial" w:hAnsi="Arial" w:cs="Arial"/>
          <w:b/>
          <w:bCs/>
          <w:sz w:val="20"/>
          <w:szCs w:val="20"/>
        </w:rPr>
      </w:pPr>
      <w:r w:rsidRPr="00C051FE">
        <w:rPr>
          <w:rFonts w:ascii="Arial" w:hAnsi="Arial" w:cs="Arial"/>
          <w:b/>
          <w:bCs/>
          <w:sz w:val="20"/>
          <w:szCs w:val="20"/>
        </w:rPr>
        <w:t>Do Cadastramento</w:t>
      </w:r>
    </w:p>
    <w:p w14:paraId="7F1DB913" w14:textId="15909816" w:rsidR="00D13E3E" w:rsidRPr="00B43062" w:rsidRDefault="00D13E3E" w:rsidP="00D13E3E">
      <w:pPr>
        <w:pStyle w:val="PargrafodaLista"/>
        <w:numPr>
          <w:ilvl w:val="0"/>
          <w:numId w:val="4"/>
        </w:numPr>
        <w:spacing w:after="0" w:line="360" w:lineRule="auto"/>
        <w:jc w:val="both"/>
        <w:rPr>
          <w:rFonts w:ascii="Arial" w:hAnsi="Arial" w:cs="Arial"/>
          <w:sz w:val="20"/>
          <w:szCs w:val="20"/>
        </w:rPr>
      </w:pPr>
      <w:r w:rsidRPr="00B43062">
        <w:rPr>
          <w:rFonts w:ascii="Arial" w:hAnsi="Arial" w:cs="Arial"/>
          <w:sz w:val="20"/>
          <w:szCs w:val="20"/>
        </w:rPr>
        <w:t xml:space="preserve">Para efetuar o cadastramento dos veículos oficiais locados, os responsáveis pelos órgãos públicos devem enviar a documentação abaixo para o seguinte endereço: </w:t>
      </w:r>
      <w:hyperlink r:id="rId8" w:history="1">
        <w:r w:rsidRPr="00AC69AB">
          <w:rPr>
            <w:rStyle w:val="Hyperlink"/>
            <w:rFonts w:ascii="Arial" w:hAnsi="Arial" w:cs="Arial"/>
            <w:color w:val="0070C0"/>
            <w:sz w:val="20"/>
            <w:szCs w:val="20"/>
          </w:rPr>
          <w:t>isento@way262.com.b</w:t>
        </w:r>
        <w:r w:rsidRPr="002A73D8">
          <w:rPr>
            <w:rStyle w:val="Hyperlink"/>
            <w:rFonts w:ascii="Arial" w:hAnsi="Arial" w:cs="Arial"/>
            <w:sz w:val="20"/>
            <w:szCs w:val="20"/>
          </w:rPr>
          <w:t>r</w:t>
        </w:r>
      </w:hyperlink>
      <w:r w:rsidRPr="00B43062">
        <w:rPr>
          <w:rFonts w:ascii="Arial" w:hAnsi="Arial" w:cs="Arial"/>
          <w:sz w:val="20"/>
          <w:szCs w:val="20"/>
        </w:rPr>
        <w:t xml:space="preserve"> sendo permitido o cadastro prévio através do site </w:t>
      </w:r>
      <w:hyperlink r:id="rId9" w:history="1">
        <w:r w:rsidRPr="00B43062">
          <w:rPr>
            <w:rStyle w:val="Hyperlink"/>
            <w:rFonts w:ascii="Arial" w:hAnsi="Arial" w:cs="Arial"/>
            <w:color w:val="0070C0"/>
            <w:sz w:val="20"/>
            <w:szCs w:val="20"/>
          </w:rPr>
          <w:t>www.way262.com.br</w:t>
        </w:r>
      </w:hyperlink>
      <w:r w:rsidRPr="00B43062">
        <w:rPr>
          <w:i/>
          <w:iCs/>
          <w:color w:val="0070C0"/>
          <w:u w:val="single"/>
        </w:rPr>
        <w:t>.</w:t>
      </w:r>
    </w:p>
    <w:p w14:paraId="32520111" w14:textId="77777777" w:rsidR="00D13E3E" w:rsidRDefault="00D13E3E" w:rsidP="00D13E3E">
      <w:pPr>
        <w:pStyle w:val="PargrafodaLista"/>
        <w:numPr>
          <w:ilvl w:val="0"/>
          <w:numId w:val="4"/>
        </w:numPr>
        <w:spacing w:after="0" w:line="360" w:lineRule="auto"/>
        <w:jc w:val="both"/>
        <w:rPr>
          <w:rFonts w:ascii="Arial" w:hAnsi="Arial" w:cs="Arial"/>
          <w:sz w:val="20"/>
          <w:szCs w:val="20"/>
        </w:rPr>
      </w:pPr>
      <w:r w:rsidRPr="00B43062">
        <w:rPr>
          <w:rFonts w:ascii="Arial" w:hAnsi="Arial" w:cs="Arial"/>
          <w:sz w:val="20"/>
          <w:szCs w:val="20"/>
        </w:rPr>
        <w:t>Certificado de Registro e Licenciamento do Veículo (CRLV) atualizado;</w:t>
      </w:r>
    </w:p>
    <w:p w14:paraId="0EFFCA10" w14:textId="77777777" w:rsidR="00D13E3E" w:rsidRDefault="00D13E3E" w:rsidP="00D13E3E">
      <w:pPr>
        <w:pStyle w:val="PargrafodaLista"/>
        <w:numPr>
          <w:ilvl w:val="0"/>
          <w:numId w:val="4"/>
        </w:numPr>
        <w:spacing w:after="0" w:line="360" w:lineRule="auto"/>
        <w:jc w:val="both"/>
        <w:rPr>
          <w:rFonts w:ascii="Arial" w:hAnsi="Arial" w:cs="Arial"/>
          <w:sz w:val="20"/>
          <w:szCs w:val="20"/>
        </w:rPr>
      </w:pPr>
      <w:r w:rsidRPr="00B43062">
        <w:rPr>
          <w:rFonts w:ascii="Arial" w:hAnsi="Arial" w:cs="Arial"/>
          <w:sz w:val="20"/>
          <w:szCs w:val="20"/>
        </w:rPr>
        <w:t>Contrato de locação dos veículos e aditivos (se for o caso);</w:t>
      </w:r>
    </w:p>
    <w:p w14:paraId="05F775F9" w14:textId="0480DDDD" w:rsidR="00D13E3E" w:rsidRDefault="00D13E3E" w:rsidP="00D13E3E">
      <w:pPr>
        <w:pStyle w:val="PargrafodaLista"/>
        <w:numPr>
          <w:ilvl w:val="0"/>
          <w:numId w:val="4"/>
        </w:numPr>
        <w:spacing w:after="0" w:line="360" w:lineRule="auto"/>
        <w:jc w:val="both"/>
        <w:rPr>
          <w:rFonts w:ascii="Arial" w:hAnsi="Arial" w:cs="Arial"/>
          <w:sz w:val="20"/>
          <w:szCs w:val="20"/>
        </w:rPr>
      </w:pPr>
      <w:r w:rsidRPr="00B43062">
        <w:rPr>
          <w:rFonts w:ascii="Arial" w:hAnsi="Arial" w:cs="Arial"/>
          <w:sz w:val="20"/>
          <w:szCs w:val="20"/>
        </w:rPr>
        <w:t xml:space="preserve">Ficha de cadastramento do órgão solicitante, contendo marca, modelo, ano de fabricação e cor predominante do(s) veículo(s) e indicando o responsável pela solicitação, seu cargo ou função, telefones de contato e endereços físico e eletrônico (ANEXO I – </w:t>
      </w:r>
      <w:r w:rsidR="00FA3D61">
        <w:rPr>
          <w:rFonts w:ascii="Arial" w:hAnsi="Arial" w:cs="Arial"/>
          <w:sz w:val="20"/>
          <w:szCs w:val="20"/>
        </w:rPr>
        <w:t>PROCEDIMENTO</w:t>
      </w:r>
      <w:r w:rsidRPr="00B43062">
        <w:rPr>
          <w:rFonts w:ascii="Arial" w:hAnsi="Arial" w:cs="Arial"/>
          <w:sz w:val="20"/>
          <w:szCs w:val="20"/>
        </w:rPr>
        <w:t>);</w:t>
      </w:r>
    </w:p>
    <w:p w14:paraId="017580BE" w14:textId="54B24342" w:rsidR="00D13E3E" w:rsidRDefault="00D13E3E" w:rsidP="00D13E3E">
      <w:pPr>
        <w:pStyle w:val="PargrafodaLista"/>
        <w:numPr>
          <w:ilvl w:val="0"/>
          <w:numId w:val="4"/>
        </w:numPr>
        <w:spacing w:after="0" w:line="360" w:lineRule="auto"/>
        <w:jc w:val="both"/>
        <w:rPr>
          <w:rFonts w:ascii="Arial" w:hAnsi="Arial" w:cs="Arial"/>
          <w:sz w:val="20"/>
          <w:szCs w:val="20"/>
        </w:rPr>
      </w:pPr>
      <w:r w:rsidRPr="00B43062">
        <w:rPr>
          <w:rFonts w:ascii="Arial" w:hAnsi="Arial" w:cs="Arial"/>
          <w:sz w:val="20"/>
          <w:szCs w:val="20"/>
        </w:rPr>
        <w:t>Em caso de Autarquia e Fundação Pública, cópia da norma que a institui</w:t>
      </w:r>
      <w:r w:rsidR="00E35D66">
        <w:rPr>
          <w:rFonts w:ascii="Arial" w:hAnsi="Arial" w:cs="Arial"/>
          <w:sz w:val="20"/>
          <w:szCs w:val="20"/>
        </w:rPr>
        <w:t>;</w:t>
      </w:r>
    </w:p>
    <w:p w14:paraId="440CBB00" w14:textId="0F174E19" w:rsidR="00E35D66" w:rsidRDefault="00E35D66" w:rsidP="00D13E3E">
      <w:pPr>
        <w:pStyle w:val="PargrafodaLista"/>
        <w:numPr>
          <w:ilvl w:val="0"/>
          <w:numId w:val="4"/>
        </w:numPr>
        <w:spacing w:after="0" w:line="360" w:lineRule="auto"/>
        <w:jc w:val="both"/>
        <w:rPr>
          <w:rFonts w:ascii="Arial" w:hAnsi="Arial" w:cs="Arial"/>
          <w:sz w:val="20"/>
          <w:szCs w:val="20"/>
        </w:rPr>
      </w:pPr>
      <w:r w:rsidRPr="00E35D66">
        <w:rPr>
          <w:rFonts w:ascii="Arial" w:hAnsi="Arial" w:cs="Arial"/>
          <w:sz w:val="20"/>
          <w:szCs w:val="20"/>
        </w:rPr>
        <w:t>Modelo; Placa devidamente identificados em Contrato ou Anexo ao documento</w:t>
      </w:r>
      <w:r w:rsidR="00FA3D61">
        <w:rPr>
          <w:rFonts w:ascii="Arial" w:hAnsi="Arial" w:cs="Arial"/>
          <w:sz w:val="20"/>
          <w:szCs w:val="20"/>
        </w:rPr>
        <w:t>;</w:t>
      </w:r>
    </w:p>
    <w:p w14:paraId="1F65D915" w14:textId="4EDF3DEB" w:rsidR="00FA3D61" w:rsidRPr="00FA3D61" w:rsidRDefault="00FA3D61" w:rsidP="00FA3D61">
      <w:pPr>
        <w:pStyle w:val="PargrafodaLista"/>
        <w:numPr>
          <w:ilvl w:val="0"/>
          <w:numId w:val="4"/>
        </w:numPr>
        <w:spacing w:line="278" w:lineRule="auto"/>
        <w:rPr>
          <w:rFonts w:ascii="Arial" w:hAnsi="Arial" w:cs="Arial"/>
          <w:sz w:val="20"/>
          <w:szCs w:val="20"/>
        </w:rPr>
      </w:pPr>
      <w:r w:rsidRPr="00FA3D61">
        <w:rPr>
          <w:rFonts w:ascii="Arial" w:hAnsi="Arial" w:cs="Arial"/>
          <w:sz w:val="20"/>
          <w:szCs w:val="20"/>
        </w:rPr>
        <w:t>Encaminhamento de ao menos uma foto frontal e traseira, com confirmação do veículo a ser concedido o benefício de isenção.</w:t>
      </w:r>
    </w:p>
    <w:p w14:paraId="1C2433D9" w14:textId="77777777" w:rsidR="00F1052C" w:rsidRDefault="00F1052C"/>
    <w:p w14:paraId="72CD9957" w14:textId="77777777" w:rsidR="00E35D66" w:rsidRDefault="00E35D66" w:rsidP="00E35D66">
      <w:pPr>
        <w:jc w:val="both"/>
        <w:rPr>
          <w:rFonts w:ascii="Arial" w:hAnsi="Arial" w:cs="Arial"/>
          <w:b/>
          <w:bCs/>
          <w:sz w:val="20"/>
          <w:szCs w:val="20"/>
        </w:rPr>
      </w:pPr>
      <w:r w:rsidRPr="00C051FE">
        <w:rPr>
          <w:rFonts w:ascii="Arial" w:hAnsi="Arial" w:cs="Arial"/>
          <w:b/>
          <w:bCs/>
          <w:sz w:val="20"/>
          <w:szCs w:val="20"/>
        </w:rPr>
        <w:t>Da Manutenção ou Perda da Condição de Veículo Isento.</w:t>
      </w:r>
    </w:p>
    <w:p w14:paraId="548087F4" w14:textId="77777777" w:rsidR="00E35D66" w:rsidRPr="00C051FE" w:rsidRDefault="00E35D66" w:rsidP="00E35D66">
      <w:pPr>
        <w:jc w:val="both"/>
        <w:rPr>
          <w:rFonts w:ascii="Arial" w:hAnsi="Arial" w:cs="Arial"/>
          <w:b/>
          <w:bCs/>
          <w:sz w:val="20"/>
          <w:szCs w:val="20"/>
        </w:rPr>
      </w:pPr>
    </w:p>
    <w:p w14:paraId="61EC8477" w14:textId="77777777" w:rsidR="00E35D66" w:rsidRPr="00C051FE" w:rsidRDefault="00E35D66" w:rsidP="00E35D66">
      <w:pPr>
        <w:spacing w:after="0" w:line="360" w:lineRule="auto"/>
        <w:jc w:val="both"/>
        <w:rPr>
          <w:rFonts w:ascii="Arial" w:hAnsi="Arial" w:cs="Arial"/>
          <w:sz w:val="20"/>
          <w:szCs w:val="20"/>
        </w:rPr>
      </w:pPr>
      <w:r w:rsidRPr="00C051FE">
        <w:rPr>
          <w:rFonts w:ascii="Arial" w:hAnsi="Arial" w:cs="Arial"/>
          <w:b/>
          <w:bCs/>
          <w:sz w:val="20"/>
          <w:szCs w:val="20"/>
        </w:rPr>
        <w:t>a)</w:t>
      </w:r>
      <w:r w:rsidRPr="00C051FE">
        <w:rPr>
          <w:rFonts w:ascii="Arial" w:hAnsi="Arial" w:cs="Arial"/>
          <w:sz w:val="20"/>
          <w:szCs w:val="20"/>
        </w:rPr>
        <w:t xml:space="preserve"> O documento de isenção terá validade até a expiração dos contratos de locação referentes aos veículos, desde que inferior a </w:t>
      </w:r>
      <w:r w:rsidRPr="00B43062">
        <w:rPr>
          <w:rFonts w:ascii="Arial" w:hAnsi="Arial" w:cs="Arial"/>
          <w:b/>
          <w:bCs/>
          <w:sz w:val="20"/>
          <w:szCs w:val="20"/>
        </w:rPr>
        <w:t>12 (doze) meses</w:t>
      </w:r>
      <w:r w:rsidRPr="00C051FE">
        <w:rPr>
          <w:rFonts w:ascii="Arial" w:hAnsi="Arial" w:cs="Arial"/>
          <w:sz w:val="20"/>
          <w:szCs w:val="20"/>
        </w:rPr>
        <w:t>;</w:t>
      </w:r>
    </w:p>
    <w:p w14:paraId="49A2A77D" w14:textId="77777777" w:rsidR="00E35D66" w:rsidRPr="00C051FE" w:rsidRDefault="00E35D66" w:rsidP="00E35D66">
      <w:pPr>
        <w:spacing w:after="0" w:line="360" w:lineRule="auto"/>
        <w:jc w:val="both"/>
        <w:rPr>
          <w:rFonts w:ascii="Arial" w:hAnsi="Arial" w:cs="Arial"/>
          <w:sz w:val="20"/>
          <w:szCs w:val="20"/>
        </w:rPr>
      </w:pPr>
      <w:r w:rsidRPr="00C051FE">
        <w:rPr>
          <w:rFonts w:ascii="Arial" w:hAnsi="Arial" w:cs="Arial"/>
          <w:b/>
          <w:bCs/>
          <w:sz w:val="20"/>
          <w:szCs w:val="20"/>
        </w:rPr>
        <w:t xml:space="preserve">b) </w:t>
      </w:r>
      <w:r w:rsidRPr="00C051FE">
        <w:rPr>
          <w:rFonts w:ascii="Arial" w:hAnsi="Arial" w:cs="Arial"/>
          <w:sz w:val="20"/>
          <w:szCs w:val="20"/>
        </w:rPr>
        <w:t>Para os contratos de locação com prazo de validade superior a 12 (doze) meses, o veículo isentado da tarifa de pedágio deverá atualizar o cadastro a cada doze meses, a fim de que seja renovado o benefício da isenção por igual período.</w:t>
      </w:r>
    </w:p>
    <w:p w14:paraId="00005396" w14:textId="77777777" w:rsidR="00E35D66" w:rsidRPr="00C051FE" w:rsidRDefault="00E35D66" w:rsidP="00E35D66">
      <w:pPr>
        <w:spacing w:after="0" w:line="360" w:lineRule="auto"/>
        <w:jc w:val="both"/>
        <w:rPr>
          <w:rFonts w:ascii="Arial" w:hAnsi="Arial" w:cs="Arial"/>
          <w:sz w:val="20"/>
          <w:szCs w:val="20"/>
        </w:rPr>
      </w:pPr>
      <w:r w:rsidRPr="00C051FE">
        <w:rPr>
          <w:rFonts w:ascii="Arial" w:hAnsi="Arial" w:cs="Arial"/>
          <w:b/>
          <w:bCs/>
          <w:sz w:val="20"/>
          <w:szCs w:val="20"/>
        </w:rPr>
        <w:lastRenderedPageBreak/>
        <w:t xml:space="preserve">c) </w:t>
      </w:r>
      <w:r w:rsidRPr="00C051FE">
        <w:rPr>
          <w:rFonts w:ascii="Arial" w:hAnsi="Arial" w:cs="Arial"/>
          <w:sz w:val="20"/>
          <w:szCs w:val="20"/>
        </w:rPr>
        <w:t>Caso o veículo isento não proceda à atualização do cadastro para a renovação do benefício, este será comunicado formalmente para a apresentação da documentação, a fim de se verificar o atendimento aos requisitos de isenção previstos neste regulamento.</w:t>
      </w:r>
    </w:p>
    <w:p w14:paraId="2793478F" w14:textId="77777777" w:rsidR="00E35D66" w:rsidRPr="00C051FE" w:rsidRDefault="00E35D66" w:rsidP="00E35D66">
      <w:pPr>
        <w:spacing w:after="0" w:line="360" w:lineRule="auto"/>
        <w:jc w:val="both"/>
        <w:rPr>
          <w:rFonts w:ascii="Arial" w:hAnsi="Arial" w:cs="Arial"/>
          <w:sz w:val="20"/>
          <w:szCs w:val="20"/>
        </w:rPr>
      </w:pPr>
      <w:r w:rsidRPr="00C051FE">
        <w:rPr>
          <w:rFonts w:ascii="Arial" w:hAnsi="Arial" w:cs="Arial"/>
          <w:b/>
          <w:bCs/>
          <w:sz w:val="20"/>
          <w:szCs w:val="20"/>
        </w:rPr>
        <w:t xml:space="preserve">d) </w:t>
      </w:r>
      <w:r w:rsidRPr="00C051FE">
        <w:rPr>
          <w:rFonts w:ascii="Arial" w:hAnsi="Arial" w:cs="Arial"/>
          <w:sz w:val="20"/>
          <w:szCs w:val="20"/>
        </w:rPr>
        <w:t xml:space="preserve">Para renovar o cadastro, o responsável deverá apresentar os documentos listados na alínea “a)”, do tópico “Do Cadastramento”, devidamente atualizados. </w:t>
      </w:r>
    </w:p>
    <w:p w14:paraId="582CF6EA" w14:textId="77777777" w:rsidR="00E35D66" w:rsidRPr="00C051FE" w:rsidRDefault="00E35D66" w:rsidP="00E35D66">
      <w:pPr>
        <w:spacing w:after="0" w:line="360" w:lineRule="auto"/>
        <w:jc w:val="both"/>
        <w:rPr>
          <w:rFonts w:ascii="Arial" w:hAnsi="Arial" w:cs="Arial"/>
          <w:sz w:val="20"/>
          <w:szCs w:val="20"/>
        </w:rPr>
      </w:pPr>
      <w:r w:rsidRPr="00C051FE">
        <w:rPr>
          <w:rFonts w:ascii="Arial" w:hAnsi="Arial" w:cs="Arial"/>
          <w:b/>
          <w:bCs/>
          <w:sz w:val="20"/>
          <w:szCs w:val="20"/>
        </w:rPr>
        <w:t xml:space="preserve">e) </w:t>
      </w:r>
      <w:r w:rsidRPr="00C051FE">
        <w:rPr>
          <w:rFonts w:ascii="Arial" w:hAnsi="Arial" w:cs="Arial"/>
          <w:sz w:val="20"/>
          <w:szCs w:val="20"/>
        </w:rPr>
        <w:t xml:space="preserve">O responsável deverá fazer uma comunicação oficial à WAY </w:t>
      </w:r>
      <w:r>
        <w:rPr>
          <w:rFonts w:ascii="Arial" w:hAnsi="Arial" w:cs="Arial"/>
          <w:sz w:val="20"/>
          <w:szCs w:val="20"/>
        </w:rPr>
        <w:t>262</w:t>
      </w:r>
      <w:r w:rsidRPr="00C051FE">
        <w:rPr>
          <w:rFonts w:ascii="Arial" w:hAnsi="Arial" w:cs="Arial"/>
          <w:sz w:val="20"/>
          <w:szCs w:val="20"/>
        </w:rPr>
        <w:t>, aos cuidados do Centro de Controle de Arrecadação</w:t>
      </w:r>
      <w:r>
        <w:rPr>
          <w:rFonts w:ascii="Arial" w:hAnsi="Arial" w:cs="Arial"/>
          <w:sz w:val="20"/>
          <w:szCs w:val="20"/>
        </w:rPr>
        <w:t xml:space="preserve"> (</w:t>
      </w:r>
      <w:hyperlink r:id="rId10" w:history="1">
        <w:r w:rsidRPr="00B43062">
          <w:rPr>
            <w:rStyle w:val="Hyperlink"/>
            <w:rFonts w:ascii="Arial" w:hAnsi="Arial" w:cs="Arial"/>
            <w:sz w:val="20"/>
            <w:szCs w:val="20"/>
          </w:rPr>
          <w:t>cca@way262.com.br</w:t>
        </w:r>
      </w:hyperlink>
      <w:r>
        <w:rPr>
          <w:rFonts w:ascii="Arial" w:hAnsi="Arial" w:cs="Arial"/>
          <w:sz w:val="20"/>
          <w:szCs w:val="20"/>
        </w:rPr>
        <w:t>)</w:t>
      </w:r>
      <w:r w:rsidRPr="00C051FE">
        <w:rPr>
          <w:rFonts w:ascii="Arial" w:hAnsi="Arial" w:cs="Arial"/>
          <w:sz w:val="20"/>
          <w:szCs w:val="20"/>
        </w:rPr>
        <w:t>, no prazo de 48 horas, quando ocorrer quaisquer das seguintes situações:</w:t>
      </w:r>
    </w:p>
    <w:p w14:paraId="50095EF3" w14:textId="77777777" w:rsidR="00E35D66" w:rsidRPr="00C051FE" w:rsidRDefault="00E35D66" w:rsidP="00E35D66">
      <w:pPr>
        <w:jc w:val="both"/>
        <w:rPr>
          <w:rFonts w:ascii="Arial" w:hAnsi="Arial" w:cs="Arial"/>
          <w:sz w:val="20"/>
          <w:szCs w:val="20"/>
        </w:rPr>
      </w:pPr>
      <w:r w:rsidRPr="00C051FE">
        <w:rPr>
          <w:rFonts w:ascii="Arial" w:hAnsi="Arial" w:cs="Arial"/>
          <w:b/>
          <w:bCs/>
          <w:sz w:val="20"/>
          <w:szCs w:val="20"/>
        </w:rPr>
        <w:t xml:space="preserve">(a) </w:t>
      </w:r>
      <w:r w:rsidRPr="00C051FE">
        <w:rPr>
          <w:rFonts w:ascii="Arial" w:hAnsi="Arial" w:cs="Arial"/>
          <w:sz w:val="20"/>
          <w:szCs w:val="20"/>
        </w:rPr>
        <w:t>Transferência de propriedade do veículo beneficiado;</w:t>
      </w:r>
    </w:p>
    <w:p w14:paraId="128C785B" w14:textId="77777777" w:rsidR="00E35D66" w:rsidRPr="00C051FE" w:rsidRDefault="00E35D66" w:rsidP="00E35D66">
      <w:pPr>
        <w:jc w:val="both"/>
        <w:rPr>
          <w:rFonts w:ascii="Arial" w:hAnsi="Arial" w:cs="Arial"/>
          <w:sz w:val="20"/>
          <w:szCs w:val="20"/>
        </w:rPr>
      </w:pPr>
      <w:r w:rsidRPr="00C051FE">
        <w:rPr>
          <w:rFonts w:ascii="Arial" w:hAnsi="Arial" w:cs="Arial"/>
          <w:b/>
          <w:bCs/>
          <w:sz w:val="20"/>
          <w:szCs w:val="20"/>
        </w:rPr>
        <w:t xml:space="preserve">(b) </w:t>
      </w:r>
      <w:r w:rsidRPr="00C051FE">
        <w:rPr>
          <w:rFonts w:ascii="Arial" w:hAnsi="Arial" w:cs="Arial"/>
          <w:sz w:val="20"/>
          <w:szCs w:val="20"/>
        </w:rPr>
        <w:t>Perda total ou roubo do veículo;</w:t>
      </w:r>
    </w:p>
    <w:p w14:paraId="31F1FA00" w14:textId="5E7D79CC" w:rsidR="00E35D66" w:rsidRPr="00C051FE" w:rsidRDefault="00E35D66" w:rsidP="00E35D66">
      <w:pPr>
        <w:jc w:val="both"/>
        <w:rPr>
          <w:rFonts w:ascii="Arial" w:hAnsi="Arial" w:cs="Arial"/>
          <w:sz w:val="20"/>
          <w:szCs w:val="20"/>
        </w:rPr>
      </w:pPr>
      <w:r w:rsidRPr="00C051FE">
        <w:rPr>
          <w:rFonts w:ascii="Arial" w:hAnsi="Arial" w:cs="Arial"/>
          <w:b/>
          <w:bCs/>
          <w:sz w:val="20"/>
          <w:szCs w:val="20"/>
        </w:rPr>
        <w:t xml:space="preserve">(c) </w:t>
      </w:r>
      <w:r w:rsidRPr="00C051FE">
        <w:rPr>
          <w:rFonts w:ascii="Arial" w:hAnsi="Arial" w:cs="Arial"/>
          <w:sz w:val="20"/>
          <w:szCs w:val="20"/>
        </w:rPr>
        <w:t>Alteração do responsável da Ficha de Cadastramento (ANEXO I -</w:t>
      </w:r>
      <w:r w:rsidR="00FA3D61">
        <w:rPr>
          <w:rFonts w:ascii="Arial" w:hAnsi="Arial" w:cs="Arial"/>
          <w:sz w:val="20"/>
          <w:szCs w:val="20"/>
        </w:rPr>
        <w:t xml:space="preserve"> PROCEDIMENTO</w:t>
      </w:r>
      <w:r w:rsidRPr="00C051FE">
        <w:rPr>
          <w:rFonts w:ascii="Arial" w:hAnsi="Arial" w:cs="Arial"/>
          <w:sz w:val="20"/>
          <w:szCs w:val="20"/>
        </w:rPr>
        <w:t>).</w:t>
      </w:r>
    </w:p>
    <w:p w14:paraId="2B109BA8" w14:textId="77777777" w:rsidR="00E35D66" w:rsidRPr="00C051FE" w:rsidRDefault="00E35D66" w:rsidP="00E35D66">
      <w:pPr>
        <w:jc w:val="both"/>
        <w:rPr>
          <w:rFonts w:ascii="Arial" w:hAnsi="Arial" w:cs="Arial"/>
          <w:sz w:val="20"/>
          <w:szCs w:val="20"/>
        </w:rPr>
      </w:pPr>
      <w:r w:rsidRPr="00C051FE">
        <w:rPr>
          <w:rFonts w:ascii="Arial" w:hAnsi="Arial" w:cs="Arial"/>
          <w:b/>
          <w:bCs/>
          <w:sz w:val="20"/>
          <w:szCs w:val="20"/>
        </w:rPr>
        <w:t>(d)</w:t>
      </w:r>
      <w:r w:rsidRPr="00C051FE">
        <w:rPr>
          <w:rFonts w:ascii="Arial" w:hAnsi="Arial" w:cs="Arial"/>
          <w:sz w:val="20"/>
          <w:szCs w:val="20"/>
        </w:rPr>
        <w:t xml:space="preserve"> No caso de rescisão antecipada do contrato de locação; </w:t>
      </w:r>
    </w:p>
    <w:p w14:paraId="373044B6" w14:textId="77777777" w:rsidR="00E35D66" w:rsidRPr="00C051FE" w:rsidRDefault="00E35D66" w:rsidP="00E35D66">
      <w:pPr>
        <w:jc w:val="both"/>
        <w:rPr>
          <w:rFonts w:ascii="Arial" w:hAnsi="Arial" w:cs="Arial"/>
          <w:sz w:val="20"/>
          <w:szCs w:val="20"/>
        </w:rPr>
      </w:pPr>
      <w:r w:rsidRPr="00200BC5">
        <w:rPr>
          <w:rFonts w:ascii="Arial" w:hAnsi="Arial" w:cs="Arial"/>
          <w:b/>
          <w:bCs/>
          <w:sz w:val="20"/>
          <w:szCs w:val="20"/>
        </w:rPr>
        <w:t>Parágrafo Primeiro</w:t>
      </w:r>
      <w:r w:rsidRPr="00C051FE">
        <w:rPr>
          <w:rFonts w:ascii="Arial" w:hAnsi="Arial" w:cs="Arial"/>
          <w:sz w:val="20"/>
          <w:szCs w:val="20"/>
        </w:rPr>
        <w:t xml:space="preserve"> – A não comunicação de qualquer das ocorrências, no prazo definido, importará na suspensão provisória da isenção, até que a situação seja regularizada.</w:t>
      </w:r>
    </w:p>
    <w:p w14:paraId="51C8DB4C" w14:textId="77777777" w:rsidR="00E35D66" w:rsidRPr="00C051FE" w:rsidRDefault="00E35D66" w:rsidP="00E35D66">
      <w:pPr>
        <w:spacing w:after="0" w:line="360" w:lineRule="auto"/>
        <w:jc w:val="both"/>
        <w:rPr>
          <w:rFonts w:ascii="Arial" w:hAnsi="Arial" w:cs="Arial"/>
          <w:sz w:val="20"/>
          <w:szCs w:val="20"/>
        </w:rPr>
      </w:pPr>
      <w:r w:rsidRPr="00C051FE">
        <w:rPr>
          <w:rFonts w:ascii="Arial" w:hAnsi="Arial" w:cs="Arial"/>
          <w:b/>
          <w:bCs/>
          <w:sz w:val="20"/>
          <w:szCs w:val="20"/>
        </w:rPr>
        <w:t xml:space="preserve">Parágrafo Segundo </w:t>
      </w:r>
      <w:r w:rsidRPr="00C051FE">
        <w:rPr>
          <w:rFonts w:ascii="Arial" w:hAnsi="Arial" w:cs="Arial"/>
          <w:sz w:val="20"/>
          <w:szCs w:val="20"/>
        </w:rPr>
        <w:t xml:space="preserve">– Caso ocorra qualquer passagem suspeita de fraude, a concessão da isenção será suspensa até que sejam averiguados os fatos. Sendo constatada a fraude, o veículo isentado será automaticamente descredenciado e o responsável legal (ANEXO I) será responsável pelos pagamentos das tarifas das passagens. </w:t>
      </w:r>
    </w:p>
    <w:p w14:paraId="2191E301" w14:textId="77777777" w:rsidR="00E35D66" w:rsidRPr="00C051FE" w:rsidRDefault="00E35D66" w:rsidP="00E35D66">
      <w:pPr>
        <w:jc w:val="both"/>
        <w:rPr>
          <w:rFonts w:ascii="Arial" w:hAnsi="Arial" w:cs="Arial"/>
          <w:b/>
          <w:bCs/>
          <w:sz w:val="20"/>
          <w:szCs w:val="20"/>
        </w:rPr>
      </w:pPr>
      <w:r w:rsidRPr="00C051FE">
        <w:rPr>
          <w:rFonts w:ascii="Arial" w:hAnsi="Arial" w:cs="Arial"/>
          <w:b/>
          <w:bCs/>
          <w:sz w:val="20"/>
          <w:szCs w:val="20"/>
        </w:rPr>
        <w:t>Da Análise e Resposta</w:t>
      </w:r>
    </w:p>
    <w:p w14:paraId="74BE6285" w14:textId="77777777" w:rsidR="00E35D66" w:rsidRPr="00C051FE" w:rsidRDefault="00E35D66" w:rsidP="00E35D66">
      <w:pPr>
        <w:jc w:val="both"/>
        <w:rPr>
          <w:rFonts w:ascii="Arial" w:hAnsi="Arial" w:cs="Arial"/>
          <w:sz w:val="20"/>
          <w:szCs w:val="20"/>
        </w:rPr>
      </w:pPr>
      <w:r w:rsidRPr="00C051FE">
        <w:rPr>
          <w:rFonts w:ascii="Arial" w:hAnsi="Arial" w:cs="Arial"/>
          <w:b/>
          <w:bCs/>
          <w:sz w:val="20"/>
          <w:szCs w:val="20"/>
        </w:rPr>
        <w:t>a)</w:t>
      </w:r>
      <w:r w:rsidRPr="00C051FE">
        <w:rPr>
          <w:rFonts w:ascii="Arial" w:hAnsi="Arial" w:cs="Arial"/>
          <w:sz w:val="20"/>
          <w:szCs w:val="20"/>
        </w:rPr>
        <w:t xml:space="preserve"> A Concessionária tem o prazo de 05 (cinco) dias úteis, contados da data de recebimento da documentação para análise da documentação e resposta ao Interessado.</w:t>
      </w:r>
    </w:p>
    <w:p w14:paraId="46D67B42" w14:textId="77777777" w:rsidR="00E35D66" w:rsidRPr="00C051FE" w:rsidRDefault="00E35D66" w:rsidP="00E35D66">
      <w:pPr>
        <w:jc w:val="both"/>
        <w:rPr>
          <w:rFonts w:ascii="Arial" w:hAnsi="Arial" w:cs="Arial"/>
          <w:sz w:val="20"/>
          <w:szCs w:val="20"/>
        </w:rPr>
      </w:pPr>
      <w:r w:rsidRPr="00C051FE">
        <w:rPr>
          <w:rFonts w:ascii="Arial" w:hAnsi="Arial" w:cs="Arial"/>
          <w:b/>
          <w:bCs/>
          <w:sz w:val="20"/>
          <w:szCs w:val="20"/>
        </w:rPr>
        <w:t>b)</w:t>
      </w:r>
      <w:r w:rsidRPr="00C051FE">
        <w:rPr>
          <w:rFonts w:ascii="Arial" w:hAnsi="Arial" w:cs="Arial"/>
          <w:sz w:val="20"/>
          <w:szCs w:val="20"/>
        </w:rPr>
        <w:t xml:space="preserve"> A isenção de tarifa de pedágio a título precário será analisada e respondida via endereço eletrônico.</w:t>
      </w:r>
    </w:p>
    <w:p w14:paraId="2D435F08" w14:textId="77777777" w:rsidR="00E35D66" w:rsidRPr="00C051FE" w:rsidRDefault="00E35D66" w:rsidP="00E35D66">
      <w:pPr>
        <w:jc w:val="both"/>
        <w:rPr>
          <w:rFonts w:ascii="Arial" w:hAnsi="Arial" w:cs="Arial"/>
          <w:sz w:val="20"/>
          <w:szCs w:val="20"/>
        </w:rPr>
      </w:pPr>
    </w:p>
    <w:p w14:paraId="0CA17766" w14:textId="77777777" w:rsidR="00E35D66" w:rsidRPr="00C051FE" w:rsidRDefault="00E35D66" w:rsidP="00E35D66">
      <w:pPr>
        <w:rPr>
          <w:rFonts w:ascii="Arial" w:hAnsi="Arial" w:cs="Arial"/>
          <w:sz w:val="20"/>
          <w:szCs w:val="20"/>
        </w:rPr>
      </w:pPr>
      <w:r w:rsidRPr="00C051FE">
        <w:rPr>
          <w:rFonts w:ascii="Arial" w:hAnsi="Arial" w:cs="Arial"/>
          <w:sz w:val="20"/>
          <w:szCs w:val="20"/>
        </w:rPr>
        <w:t>............................................, ......... de ....................................... de 20.....</w:t>
      </w:r>
    </w:p>
    <w:p w14:paraId="296E2E17" w14:textId="77777777" w:rsidR="00E35D66" w:rsidRPr="00DC28F9" w:rsidRDefault="00E35D66" w:rsidP="00E35D66">
      <w:pPr>
        <w:rPr>
          <w:rFonts w:ascii="Arial" w:hAnsi="Arial" w:cs="Arial"/>
          <w:sz w:val="20"/>
          <w:szCs w:val="20"/>
        </w:rPr>
      </w:pPr>
      <w:r w:rsidRPr="00C051FE">
        <w:rPr>
          <w:rFonts w:ascii="Arial" w:hAnsi="Arial" w:cs="Arial"/>
          <w:sz w:val="20"/>
          <w:szCs w:val="20"/>
        </w:rPr>
        <w:t xml:space="preserve"> Assinatura do Responsável</w:t>
      </w:r>
    </w:p>
    <w:p w14:paraId="180E2C7E" w14:textId="77777777" w:rsidR="00E35D66" w:rsidRDefault="00E35D66"/>
    <w:sectPr w:rsidR="00E35D66" w:rsidSect="00D13E3E">
      <w:headerReference w:type="even" r:id="rId11"/>
      <w:headerReference w:type="default" r:id="rId12"/>
      <w:footerReference w:type="even" r:id="rId13"/>
      <w:footerReference w:type="default" r:id="rId14"/>
      <w:headerReference w:type="first" r:id="rId15"/>
      <w:footerReference w:type="first" r:id="rId16"/>
      <w:pgSz w:w="11906" w:h="16838"/>
      <w:pgMar w:top="185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B86CD" w14:textId="77777777" w:rsidR="00B00382" w:rsidRDefault="00B00382" w:rsidP="00A813D7">
      <w:pPr>
        <w:spacing w:after="0" w:line="240" w:lineRule="auto"/>
      </w:pPr>
      <w:r>
        <w:separator/>
      </w:r>
    </w:p>
  </w:endnote>
  <w:endnote w:type="continuationSeparator" w:id="0">
    <w:p w14:paraId="4A0148BB" w14:textId="77777777" w:rsidR="00B00382" w:rsidRDefault="00B00382" w:rsidP="00A81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6537" w14:textId="77777777" w:rsidR="00B15DF6" w:rsidRDefault="00B15DF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39F3" w14:textId="77777777" w:rsidR="00A813D7" w:rsidRDefault="00A813D7" w:rsidP="00A813D7">
    <w:pPr>
      <w:jc w:val="center"/>
      <w:rPr>
        <w:b/>
        <w:bCs/>
        <w:sz w:val="16"/>
        <w:szCs w:val="16"/>
      </w:rPr>
    </w:pPr>
  </w:p>
  <w:p w14:paraId="6FA94A3D" w14:textId="1E2F81B7" w:rsidR="00A813D7" w:rsidRDefault="00A813D7" w:rsidP="00A813D7">
    <w:pPr>
      <w:spacing w:after="0"/>
      <w:jc w:val="center"/>
      <w:rPr>
        <w:sz w:val="16"/>
        <w:szCs w:val="16"/>
      </w:rPr>
    </w:pPr>
    <w:r w:rsidRPr="00A813D7">
      <w:rPr>
        <w:b/>
        <w:bCs/>
        <w:sz w:val="16"/>
        <w:szCs w:val="16"/>
      </w:rPr>
      <w:t xml:space="preserve">Concessionária da Rodovia BR-262 MG </w:t>
    </w:r>
    <w:r>
      <w:rPr>
        <w:b/>
        <w:bCs/>
        <w:sz w:val="16"/>
        <w:szCs w:val="16"/>
      </w:rPr>
      <w:t>SA.</w:t>
    </w:r>
    <w:r>
      <w:rPr>
        <w:sz w:val="16"/>
        <w:szCs w:val="16"/>
      </w:rPr>
      <w:br/>
    </w:r>
    <w:r w:rsidRPr="00A813D7">
      <w:rPr>
        <w:sz w:val="16"/>
        <w:szCs w:val="16"/>
      </w:rPr>
      <w:t>Rua Belmira Montes Barroso, 1</w:t>
    </w:r>
    <w:r>
      <w:rPr>
        <w:sz w:val="16"/>
        <w:szCs w:val="16"/>
      </w:rPr>
      <w:t xml:space="preserve">64 </w:t>
    </w:r>
    <w:r w:rsidRPr="00A813D7">
      <w:rPr>
        <w:sz w:val="16"/>
        <w:szCs w:val="16"/>
      </w:rPr>
      <w:t>| Jardim Maracanã | Uberaba – MG | CEP.: 38.041-096</w:t>
    </w:r>
  </w:p>
  <w:p w14:paraId="7177E900" w14:textId="3B2F0859" w:rsidR="00A813D7" w:rsidRPr="00A813D7" w:rsidRDefault="00A813D7" w:rsidP="00A813D7">
    <w:pPr>
      <w:spacing w:after="0"/>
      <w:jc w:val="center"/>
      <w:rPr>
        <w:i/>
        <w:iCs/>
        <w:color w:val="0070C0"/>
        <w:sz w:val="18"/>
        <w:szCs w:val="18"/>
      </w:rPr>
    </w:pPr>
    <w:hyperlink r:id="rId1" w:history="1">
      <w:r w:rsidRPr="00A813D7">
        <w:rPr>
          <w:rStyle w:val="Hyperlink"/>
          <w:i/>
          <w:iCs/>
          <w:color w:val="0070C0"/>
          <w:sz w:val="18"/>
          <w:szCs w:val="18"/>
          <w:u w:val="none"/>
        </w:rPr>
        <w:t>way262.com.br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5196" w14:textId="77777777" w:rsidR="00B15DF6" w:rsidRDefault="00B15DF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7DC70" w14:textId="77777777" w:rsidR="00B00382" w:rsidRDefault="00B00382" w:rsidP="00A813D7">
      <w:pPr>
        <w:spacing w:after="0" w:line="240" w:lineRule="auto"/>
      </w:pPr>
      <w:r>
        <w:separator/>
      </w:r>
    </w:p>
  </w:footnote>
  <w:footnote w:type="continuationSeparator" w:id="0">
    <w:p w14:paraId="744131C5" w14:textId="77777777" w:rsidR="00B00382" w:rsidRDefault="00B00382" w:rsidP="00A81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9AEE" w14:textId="77777777" w:rsidR="00B15DF6" w:rsidRDefault="00B15DF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775" w:type="dxa"/>
      <w:tblInd w:w="-1282" w:type="dxa"/>
      <w:tblLook w:val="04A0" w:firstRow="1" w:lastRow="0" w:firstColumn="1" w:lastColumn="0" w:noHBand="0" w:noVBand="1"/>
    </w:tblPr>
    <w:tblGrid>
      <w:gridCol w:w="2916"/>
      <w:gridCol w:w="6158"/>
      <w:gridCol w:w="1701"/>
    </w:tblGrid>
    <w:tr w:rsidR="009B4598" w14:paraId="09B72AF1" w14:textId="3C69E4B6" w:rsidTr="009B4598">
      <w:trPr>
        <w:trHeight w:val="397"/>
      </w:trPr>
      <w:tc>
        <w:tcPr>
          <w:tcW w:w="2916" w:type="dxa"/>
          <w:vMerge w:val="restart"/>
        </w:tcPr>
        <w:p w14:paraId="244D1624" w14:textId="4FBB5EC5" w:rsidR="009B4598" w:rsidRDefault="009B4598">
          <w:pPr>
            <w:pStyle w:val="Cabealho"/>
          </w:pPr>
          <w:r>
            <w:rPr>
              <w:noProof/>
              <w14:ligatures w14:val="standardContextual"/>
            </w:rPr>
            <w:drawing>
              <wp:inline distT="0" distB="0" distL="0" distR="0" wp14:anchorId="622F8BB3" wp14:editId="0D90D804">
                <wp:extent cx="1706742" cy="942975"/>
                <wp:effectExtent l="0" t="0" r="8255" b="0"/>
                <wp:docPr id="1432732981" name="Imagem 3"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32981" name="Imagem 3"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716587" cy="948414"/>
                        </a:xfrm>
                        <a:prstGeom prst="rect">
                          <a:avLst/>
                        </a:prstGeom>
                      </pic:spPr>
                    </pic:pic>
                  </a:graphicData>
                </a:graphic>
              </wp:inline>
            </w:drawing>
          </w:r>
        </w:p>
      </w:tc>
      <w:tc>
        <w:tcPr>
          <w:tcW w:w="6158" w:type="dxa"/>
          <w:vAlign w:val="center"/>
        </w:tcPr>
        <w:p w14:paraId="3C57253E" w14:textId="32AA4576" w:rsidR="009B4598" w:rsidRPr="00D13E3E" w:rsidRDefault="009B4598" w:rsidP="00D13E3E">
          <w:pPr>
            <w:pStyle w:val="Cabealho"/>
            <w:jc w:val="center"/>
            <w:rPr>
              <w:b/>
              <w:bCs/>
            </w:rPr>
          </w:pPr>
          <w:r w:rsidRPr="00D13E3E">
            <w:rPr>
              <w:b/>
              <w:bCs/>
            </w:rPr>
            <w:t>REGISTRO GERAL</w:t>
          </w:r>
        </w:p>
      </w:tc>
      <w:tc>
        <w:tcPr>
          <w:tcW w:w="1701" w:type="dxa"/>
        </w:tcPr>
        <w:p w14:paraId="4577EA95" w14:textId="6C716144" w:rsidR="009B4598" w:rsidRPr="00D13E3E" w:rsidRDefault="009B4598" w:rsidP="00D13E3E">
          <w:pPr>
            <w:pStyle w:val="Cabealho"/>
            <w:jc w:val="center"/>
            <w:rPr>
              <w:b/>
              <w:bCs/>
            </w:rPr>
          </w:pPr>
          <w:r>
            <w:rPr>
              <w:b/>
              <w:bCs/>
            </w:rPr>
            <w:t xml:space="preserve">REVISÃO: </w:t>
          </w:r>
          <w:r w:rsidRPr="009B4598">
            <w:t>01</w:t>
          </w:r>
        </w:p>
      </w:tc>
    </w:tr>
    <w:tr w:rsidR="009B4598" w14:paraId="719D0A96" w14:textId="246F23D5" w:rsidTr="009B4598">
      <w:trPr>
        <w:trHeight w:val="846"/>
      </w:trPr>
      <w:tc>
        <w:tcPr>
          <w:tcW w:w="2916" w:type="dxa"/>
          <w:vMerge/>
        </w:tcPr>
        <w:p w14:paraId="52F70431" w14:textId="77777777" w:rsidR="009B4598" w:rsidRDefault="009B4598">
          <w:pPr>
            <w:pStyle w:val="Cabealho"/>
          </w:pPr>
        </w:p>
      </w:tc>
      <w:tc>
        <w:tcPr>
          <w:tcW w:w="6158" w:type="dxa"/>
          <w:vAlign w:val="center"/>
        </w:tcPr>
        <w:p w14:paraId="69689ED2" w14:textId="1470C8F7" w:rsidR="009B4598" w:rsidRPr="00D13E3E" w:rsidRDefault="00B15DF6" w:rsidP="00D13E3E">
          <w:pPr>
            <w:pStyle w:val="Cabealho"/>
            <w:jc w:val="center"/>
            <w:rPr>
              <w:b/>
              <w:bCs/>
            </w:rPr>
          </w:pPr>
          <w:r>
            <w:rPr>
              <w:b/>
              <w:bCs/>
            </w:rPr>
            <w:t>DEFINIÇÕES</w:t>
          </w:r>
          <w:r w:rsidR="009B4598" w:rsidRPr="00D13E3E">
            <w:rPr>
              <w:b/>
              <w:bCs/>
            </w:rPr>
            <w:t xml:space="preserve"> PARA ISENÇÃO DE PAGAMENTO DE TARIFA DE PEDÁGIO</w:t>
          </w:r>
        </w:p>
      </w:tc>
      <w:tc>
        <w:tcPr>
          <w:tcW w:w="1701" w:type="dxa"/>
          <w:vAlign w:val="center"/>
        </w:tcPr>
        <w:p w14:paraId="56BE63B7" w14:textId="59D2A7EA" w:rsidR="009B4598" w:rsidRPr="009B4598" w:rsidRDefault="009B4598" w:rsidP="009B4598">
          <w:pPr>
            <w:pStyle w:val="Cabealho"/>
            <w:jc w:val="center"/>
          </w:pPr>
          <w:r w:rsidRPr="009B4598">
            <w:t>26/05/2025</w:t>
          </w:r>
        </w:p>
      </w:tc>
    </w:tr>
  </w:tbl>
  <w:p w14:paraId="2BF4EC2F" w14:textId="1D375665" w:rsidR="00A813D7" w:rsidRDefault="00A813D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3323" w14:textId="77777777" w:rsidR="00B15DF6" w:rsidRDefault="00B15D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4C6"/>
    <w:multiLevelType w:val="hybridMultilevel"/>
    <w:tmpl w:val="6E1463E6"/>
    <w:lvl w:ilvl="0" w:tplc="6C4870E4">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53E2195"/>
    <w:multiLevelType w:val="hybridMultilevel"/>
    <w:tmpl w:val="EC88D9F0"/>
    <w:lvl w:ilvl="0" w:tplc="8C4011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915022F"/>
    <w:multiLevelType w:val="hybridMultilevel"/>
    <w:tmpl w:val="D8500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9431A20"/>
    <w:multiLevelType w:val="hybridMultilevel"/>
    <w:tmpl w:val="D09C9D94"/>
    <w:lvl w:ilvl="0" w:tplc="D5D62AB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B65270E"/>
    <w:multiLevelType w:val="hybridMultilevel"/>
    <w:tmpl w:val="2A86D362"/>
    <w:lvl w:ilvl="0" w:tplc="8C4011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35685001">
    <w:abstractNumId w:val="3"/>
  </w:num>
  <w:num w:numId="2" w16cid:durableId="946738011">
    <w:abstractNumId w:val="0"/>
  </w:num>
  <w:num w:numId="3" w16cid:durableId="594483770">
    <w:abstractNumId w:val="4"/>
  </w:num>
  <w:num w:numId="4" w16cid:durableId="189413930">
    <w:abstractNumId w:val="1"/>
  </w:num>
  <w:num w:numId="5" w16cid:durableId="1071539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D7"/>
    <w:rsid w:val="000034CA"/>
    <w:rsid w:val="00076611"/>
    <w:rsid w:val="003F76DA"/>
    <w:rsid w:val="005D7750"/>
    <w:rsid w:val="00777384"/>
    <w:rsid w:val="00882E27"/>
    <w:rsid w:val="0092400A"/>
    <w:rsid w:val="009B4598"/>
    <w:rsid w:val="00A813D7"/>
    <w:rsid w:val="00AC69AB"/>
    <w:rsid w:val="00B00382"/>
    <w:rsid w:val="00B15DF6"/>
    <w:rsid w:val="00BC391B"/>
    <w:rsid w:val="00BE651E"/>
    <w:rsid w:val="00CF1D95"/>
    <w:rsid w:val="00D13E3E"/>
    <w:rsid w:val="00E35D66"/>
    <w:rsid w:val="00F1052C"/>
    <w:rsid w:val="00FA3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EF5DC"/>
  <w15:chartTrackingRefBased/>
  <w15:docId w15:val="{65BE199C-BA8E-4A3E-819F-DCF62DD2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E3E"/>
    <w:pPr>
      <w:spacing w:line="259" w:lineRule="auto"/>
    </w:pPr>
    <w:rPr>
      <w:kern w:val="0"/>
      <w:sz w:val="22"/>
      <w:szCs w:val="22"/>
      <w14:ligatures w14:val="none"/>
    </w:rPr>
  </w:style>
  <w:style w:type="paragraph" w:styleId="Ttulo1">
    <w:name w:val="heading 1"/>
    <w:basedOn w:val="Normal"/>
    <w:next w:val="Normal"/>
    <w:link w:val="Ttulo1Char"/>
    <w:uiPriority w:val="9"/>
    <w:qFormat/>
    <w:rsid w:val="00A81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81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813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813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813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813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813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813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813D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813D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813D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813D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813D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813D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813D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813D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813D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813D7"/>
    <w:rPr>
      <w:rFonts w:eastAsiaTheme="majorEastAsia" w:cstheme="majorBidi"/>
      <w:color w:val="272727" w:themeColor="text1" w:themeTint="D8"/>
    </w:rPr>
  </w:style>
  <w:style w:type="paragraph" w:styleId="Ttulo">
    <w:name w:val="Title"/>
    <w:basedOn w:val="Normal"/>
    <w:next w:val="Normal"/>
    <w:link w:val="TtuloChar"/>
    <w:uiPriority w:val="10"/>
    <w:qFormat/>
    <w:rsid w:val="00A81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813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813D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813D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813D7"/>
    <w:pPr>
      <w:spacing w:before="160"/>
      <w:jc w:val="center"/>
    </w:pPr>
    <w:rPr>
      <w:i/>
      <w:iCs/>
      <w:color w:val="404040" w:themeColor="text1" w:themeTint="BF"/>
    </w:rPr>
  </w:style>
  <w:style w:type="character" w:customStyle="1" w:styleId="CitaoChar">
    <w:name w:val="Citação Char"/>
    <w:basedOn w:val="Fontepargpadro"/>
    <w:link w:val="Citao"/>
    <w:uiPriority w:val="29"/>
    <w:rsid w:val="00A813D7"/>
    <w:rPr>
      <w:i/>
      <w:iCs/>
      <w:color w:val="404040" w:themeColor="text1" w:themeTint="BF"/>
    </w:rPr>
  </w:style>
  <w:style w:type="paragraph" w:styleId="PargrafodaLista">
    <w:name w:val="List Paragraph"/>
    <w:basedOn w:val="Normal"/>
    <w:uiPriority w:val="34"/>
    <w:qFormat/>
    <w:rsid w:val="00A813D7"/>
    <w:pPr>
      <w:ind w:left="720"/>
      <w:contextualSpacing/>
    </w:pPr>
  </w:style>
  <w:style w:type="character" w:styleId="nfaseIntensa">
    <w:name w:val="Intense Emphasis"/>
    <w:basedOn w:val="Fontepargpadro"/>
    <w:uiPriority w:val="21"/>
    <w:qFormat/>
    <w:rsid w:val="00A813D7"/>
    <w:rPr>
      <w:i/>
      <w:iCs/>
      <w:color w:val="0F4761" w:themeColor="accent1" w:themeShade="BF"/>
    </w:rPr>
  </w:style>
  <w:style w:type="paragraph" w:styleId="CitaoIntensa">
    <w:name w:val="Intense Quote"/>
    <w:basedOn w:val="Normal"/>
    <w:next w:val="Normal"/>
    <w:link w:val="CitaoIntensaChar"/>
    <w:uiPriority w:val="30"/>
    <w:qFormat/>
    <w:rsid w:val="00A81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813D7"/>
    <w:rPr>
      <w:i/>
      <w:iCs/>
      <w:color w:val="0F4761" w:themeColor="accent1" w:themeShade="BF"/>
    </w:rPr>
  </w:style>
  <w:style w:type="character" w:styleId="RefernciaIntensa">
    <w:name w:val="Intense Reference"/>
    <w:basedOn w:val="Fontepargpadro"/>
    <w:uiPriority w:val="32"/>
    <w:qFormat/>
    <w:rsid w:val="00A813D7"/>
    <w:rPr>
      <w:b/>
      <w:bCs/>
      <w:smallCaps/>
      <w:color w:val="0F4761" w:themeColor="accent1" w:themeShade="BF"/>
      <w:spacing w:val="5"/>
    </w:rPr>
  </w:style>
  <w:style w:type="paragraph" w:styleId="Cabealho">
    <w:name w:val="header"/>
    <w:basedOn w:val="Normal"/>
    <w:link w:val="CabealhoChar"/>
    <w:uiPriority w:val="99"/>
    <w:unhideWhenUsed/>
    <w:rsid w:val="00A813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13D7"/>
  </w:style>
  <w:style w:type="paragraph" w:styleId="Rodap">
    <w:name w:val="footer"/>
    <w:basedOn w:val="Normal"/>
    <w:link w:val="RodapChar"/>
    <w:uiPriority w:val="99"/>
    <w:unhideWhenUsed/>
    <w:rsid w:val="00A813D7"/>
    <w:pPr>
      <w:tabs>
        <w:tab w:val="center" w:pos="4252"/>
        <w:tab w:val="right" w:pos="8504"/>
      </w:tabs>
      <w:spacing w:after="0" w:line="240" w:lineRule="auto"/>
    </w:pPr>
  </w:style>
  <w:style w:type="character" w:customStyle="1" w:styleId="RodapChar">
    <w:name w:val="Rodapé Char"/>
    <w:basedOn w:val="Fontepargpadro"/>
    <w:link w:val="Rodap"/>
    <w:uiPriority w:val="99"/>
    <w:rsid w:val="00A813D7"/>
  </w:style>
  <w:style w:type="character" w:styleId="Hyperlink">
    <w:name w:val="Hyperlink"/>
    <w:basedOn w:val="Fontepargpadro"/>
    <w:uiPriority w:val="99"/>
    <w:unhideWhenUsed/>
    <w:rsid w:val="00A813D7"/>
    <w:rPr>
      <w:color w:val="467886" w:themeColor="hyperlink"/>
      <w:u w:val="single"/>
    </w:rPr>
  </w:style>
  <w:style w:type="character" w:styleId="MenoPendente">
    <w:name w:val="Unresolved Mention"/>
    <w:basedOn w:val="Fontepargpadro"/>
    <w:uiPriority w:val="99"/>
    <w:semiHidden/>
    <w:unhideWhenUsed/>
    <w:rsid w:val="00A813D7"/>
    <w:rPr>
      <w:color w:val="605E5C"/>
      <w:shd w:val="clear" w:color="auto" w:fill="E1DFDD"/>
    </w:rPr>
  </w:style>
  <w:style w:type="table" w:styleId="Tabelacomgrade">
    <w:name w:val="Table Grid"/>
    <w:basedOn w:val="Tabelanormal"/>
    <w:uiPriority w:val="39"/>
    <w:rsid w:val="00924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814">
      <w:bodyDiv w:val="1"/>
      <w:marLeft w:val="0"/>
      <w:marRight w:val="0"/>
      <w:marTop w:val="0"/>
      <w:marBottom w:val="0"/>
      <w:divBdr>
        <w:top w:val="none" w:sz="0" w:space="0" w:color="auto"/>
        <w:left w:val="none" w:sz="0" w:space="0" w:color="auto"/>
        <w:bottom w:val="none" w:sz="0" w:space="0" w:color="auto"/>
        <w:right w:val="none" w:sz="0" w:space="0" w:color="auto"/>
      </w:divBdr>
    </w:div>
    <w:div w:id="1037320658">
      <w:bodyDiv w:val="1"/>
      <w:marLeft w:val="0"/>
      <w:marRight w:val="0"/>
      <w:marTop w:val="0"/>
      <w:marBottom w:val="0"/>
      <w:divBdr>
        <w:top w:val="none" w:sz="0" w:space="0" w:color="auto"/>
        <w:left w:val="none" w:sz="0" w:space="0" w:color="auto"/>
        <w:bottom w:val="none" w:sz="0" w:space="0" w:color="auto"/>
        <w:right w:val="none" w:sz="0" w:space="0" w:color="auto"/>
      </w:divBdr>
    </w:div>
    <w:div w:id="1127048715">
      <w:bodyDiv w:val="1"/>
      <w:marLeft w:val="0"/>
      <w:marRight w:val="0"/>
      <w:marTop w:val="0"/>
      <w:marBottom w:val="0"/>
      <w:divBdr>
        <w:top w:val="none" w:sz="0" w:space="0" w:color="auto"/>
        <w:left w:val="none" w:sz="0" w:space="0" w:color="auto"/>
        <w:bottom w:val="none" w:sz="0" w:space="0" w:color="auto"/>
        <w:right w:val="none" w:sz="0" w:space="0" w:color="auto"/>
      </w:divBdr>
    </w:div>
    <w:div w:id="1301154330">
      <w:bodyDiv w:val="1"/>
      <w:marLeft w:val="0"/>
      <w:marRight w:val="0"/>
      <w:marTop w:val="0"/>
      <w:marBottom w:val="0"/>
      <w:divBdr>
        <w:top w:val="none" w:sz="0" w:space="0" w:color="auto"/>
        <w:left w:val="none" w:sz="0" w:space="0" w:color="auto"/>
        <w:bottom w:val="none" w:sz="0" w:space="0" w:color="auto"/>
        <w:right w:val="none" w:sz="0" w:space="0" w:color="auto"/>
      </w:divBdr>
    </w:div>
    <w:div w:id="1491141074">
      <w:bodyDiv w:val="1"/>
      <w:marLeft w:val="0"/>
      <w:marRight w:val="0"/>
      <w:marTop w:val="0"/>
      <w:marBottom w:val="0"/>
      <w:divBdr>
        <w:top w:val="none" w:sz="0" w:space="0" w:color="auto"/>
        <w:left w:val="none" w:sz="0" w:space="0" w:color="auto"/>
        <w:bottom w:val="none" w:sz="0" w:space="0" w:color="auto"/>
        <w:right w:val="none" w:sz="0" w:space="0" w:color="auto"/>
      </w:divBdr>
    </w:div>
    <w:div w:id="199152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ento@way262.com.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ca@way262.com.br" TargetMode="External"/><Relationship Id="rId4" Type="http://schemas.openxmlformats.org/officeDocument/2006/relationships/settings" Target="settings.xml"/><Relationship Id="rId9" Type="http://schemas.openxmlformats.org/officeDocument/2006/relationships/hyperlink" Target="http://www.way262.com.b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file:///C:\Users\emerson.rodrigues\Downloads\way262.com.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449CA-EA39-4701-9B5D-D10FF4552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962</Words>
  <Characters>5197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Eduard Emiliano Rodrigues</dc:creator>
  <cp:keywords/>
  <dc:description/>
  <cp:lastModifiedBy>Emerson Eduard Emiliano Rodrigues</cp:lastModifiedBy>
  <cp:revision>7</cp:revision>
  <dcterms:created xsi:type="dcterms:W3CDTF">2025-05-09T13:42:00Z</dcterms:created>
  <dcterms:modified xsi:type="dcterms:W3CDTF">2025-05-28T14:36:00Z</dcterms:modified>
</cp:coreProperties>
</file>